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45" w:afterLines="50" w:line="640" w:lineRule="exact"/>
        <w:jc w:val="left"/>
        <w:rPr>
          <w:rFonts w:ascii="方正黑体_GBK" w:hAnsi="黑体" w:eastAsia="方正黑体_GBK" w:cs="方正黑体_GBK"/>
          <w:sz w:val="32"/>
          <w:szCs w:val="32"/>
        </w:rPr>
      </w:pPr>
      <w:bookmarkStart w:id="0" w:name="_GoBack"/>
      <w:bookmarkEnd w:id="0"/>
      <w:r>
        <w:rPr>
          <w:rFonts w:hint="eastAsia" w:ascii="方正黑体_GBK" w:hAnsi="黑体" w:eastAsia="方正黑体_GBK" w:cs="方正黑体_GBK"/>
          <w:sz w:val="32"/>
          <w:szCs w:val="32"/>
        </w:rPr>
        <w:t>附件5</w:t>
      </w:r>
    </w:p>
    <w:p>
      <w:pPr>
        <w:spacing w:after="145" w:afterLines="50" w:line="640" w:lineRule="exact"/>
        <w:jc w:val="center"/>
        <w:rPr>
          <w:rFonts w:ascii="黑体" w:hAnsi="黑体" w:eastAsia="黑体" w:cs="Times New Roman"/>
          <w:sz w:val="44"/>
          <w:szCs w:val="44"/>
        </w:rPr>
      </w:pPr>
      <w:r>
        <w:rPr>
          <w:rFonts w:hint="eastAsia" w:ascii="黑体" w:hAnsi="黑体" w:eastAsia="黑体" w:cs="黑体"/>
          <w:sz w:val="44"/>
          <w:szCs w:val="44"/>
        </w:rPr>
        <w:t>安徽省普通高校基本教学活动标准化建设及示范创建达标统计表</w:t>
      </w:r>
    </w:p>
    <w:p>
      <w:pPr>
        <w:spacing w:before="290" w:beforeLines="100" w:after="290" w:afterLines="100" w:line="640" w:lineRule="exact"/>
        <w:rPr>
          <w:rFonts w:ascii="仿宋_GB2312" w:hAnsi="黑体" w:eastAsia="Times New Roman" w:cs="Times New Roman"/>
          <w:sz w:val="30"/>
          <w:szCs w:val="30"/>
          <w:u w:val="single"/>
        </w:rPr>
      </w:pPr>
      <w:r>
        <w:rPr>
          <w:rFonts w:hint="eastAsia" w:ascii="黑体" w:hAnsi="黑体" w:eastAsia="黑体" w:cs="黑体"/>
          <w:sz w:val="28"/>
          <w:szCs w:val="28"/>
        </w:rPr>
        <w:t>学校名称：</w:t>
      </w:r>
      <w:r>
        <w:rPr>
          <w:rFonts w:ascii="黑体" w:hAnsi="黑体" w:eastAsia="黑体" w:cs="黑体"/>
          <w:sz w:val="28"/>
          <w:szCs w:val="28"/>
          <w:u w:val="single"/>
        </w:rPr>
        <w:t xml:space="preserve">                      </w:t>
      </w:r>
      <w:r>
        <w:rPr>
          <w:rFonts w:ascii="黑体" w:hAnsi="黑体" w:eastAsia="黑体" w:cs="黑体"/>
          <w:sz w:val="28"/>
          <w:szCs w:val="28"/>
        </w:rPr>
        <w:t xml:space="preserve">          </w:t>
      </w:r>
      <w:r>
        <w:rPr>
          <w:rFonts w:hint="eastAsia" w:ascii="黑体" w:hAnsi="黑体" w:eastAsia="黑体" w:cs="黑体"/>
          <w:sz w:val="28"/>
          <w:szCs w:val="28"/>
        </w:rPr>
        <w:t>课程名称：</w:t>
      </w:r>
      <w:r>
        <w:rPr>
          <w:rFonts w:ascii="黑体" w:hAnsi="黑体" w:eastAsia="黑体" w:cs="黑体"/>
          <w:sz w:val="28"/>
          <w:szCs w:val="28"/>
          <w:u w:val="single"/>
        </w:rPr>
        <w:t xml:space="preserve">                      </w:t>
      </w:r>
      <w:r>
        <w:rPr>
          <w:rFonts w:ascii="黑体" w:hAnsi="黑体" w:eastAsia="黑体" w:cs="黑体"/>
          <w:sz w:val="28"/>
          <w:szCs w:val="28"/>
        </w:rPr>
        <w:t xml:space="preserve">          </w:t>
      </w:r>
      <w:r>
        <w:rPr>
          <w:rFonts w:hint="eastAsia" w:ascii="黑体" w:hAnsi="黑体" w:eastAsia="黑体" w:cs="黑体"/>
          <w:sz w:val="28"/>
          <w:szCs w:val="28"/>
        </w:rPr>
        <w:t>负责人：</w:t>
      </w:r>
      <w:r>
        <w:rPr>
          <w:rFonts w:ascii="黑体" w:hAnsi="黑体" w:eastAsia="黑体" w:cs="黑体"/>
          <w:sz w:val="28"/>
          <w:szCs w:val="28"/>
          <w:u w:val="single"/>
        </w:rPr>
        <w:t xml:space="preserve">                      </w:t>
      </w:r>
      <w:r>
        <w:rPr>
          <w:rFonts w:ascii="黑体" w:hAnsi="黑体" w:eastAsia="黑体" w:cs="黑体"/>
          <w:sz w:val="28"/>
          <w:szCs w:val="28"/>
        </w:rPr>
        <w:t xml:space="preserve">          </w:t>
      </w:r>
      <w:r>
        <w:rPr>
          <w:rFonts w:hint="eastAsia" w:ascii="黑体" w:hAnsi="黑体" w:eastAsia="黑体" w:cs="黑体"/>
          <w:sz w:val="28"/>
          <w:szCs w:val="28"/>
        </w:rPr>
        <w:t>填表时间：</w:t>
      </w:r>
      <w:r>
        <w:rPr>
          <w:rFonts w:ascii="黑体" w:hAnsi="黑体" w:eastAsia="黑体" w:cs="黑体"/>
          <w:sz w:val="28"/>
          <w:szCs w:val="28"/>
          <w:u w:val="single"/>
        </w:rPr>
        <w:t xml:space="preserve">                     </w:t>
      </w:r>
    </w:p>
    <w:p>
      <w:pPr>
        <w:spacing w:before="290" w:beforeLines="100" w:after="290" w:afterLines="100" w:line="440" w:lineRule="exact"/>
        <w:ind w:firstLine="562" w:firstLineChars="200"/>
        <w:rPr>
          <w:rFonts w:ascii="Heiti SC Medium" w:hAnsi="Heiti SC Medium" w:eastAsia="Heiti SC Medium" w:cs="Times New Roman"/>
          <w:color w:val="000000"/>
          <w:sz w:val="28"/>
          <w:szCs w:val="28"/>
        </w:rPr>
      </w:pPr>
      <w:r>
        <w:rPr>
          <w:rFonts w:hint="eastAsia" w:ascii="黑体" w:hAnsi="黑体" w:eastAsia="黑体" w:cs="黑体"/>
          <w:b/>
          <w:bCs/>
          <w:color w:val="000000"/>
          <w:sz w:val="30"/>
          <w:szCs w:val="30"/>
        </w:rPr>
        <w:t>一、安徽省普通高校基本教学活动标准化建设达标情况</w:t>
      </w:r>
    </w:p>
    <w:tbl>
      <w:tblPr>
        <w:tblStyle w:val="2"/>
        <w:tblW w:w="2099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714"/>
        <w:gridCol w:w="3118"/>
        <w:gridCol w:w="1291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Align w:val="center"/>
          </w:tcPr>
          <w:p>
            <w:pPr>
              <w:spacing w:line="432" w:lineRule="exact"/>
              <w:ind w:firstLine="21" w:firstLineChars="8"/>
              <w:jc w:val="center"/>
              <w:rPr>
                <w:rFonts w:ascii="黑体" w:hAnsi="黑体" w:eastAsia="黑体" w:cs="Times New Roman"/>
                <w:color w:val="000000"/>
                <w:sz w:val="28"/>
                <w:szCs w:val="28"/>
              </w:rPr>
            </w:pPr>
            <w:r>
              <w:rPr>
                <w:rFonts w:hint="eastAsia" w:ascii="黑体" w:hAnsi="黑体" w:eastAsia="黑体" w:cs="黑体"/>
                <w:color w:val="000000"/>
                <w:sz w:val="28"/>
                <w:szCs w:val="28"/>
              </w:rPr>
              <w:t>一级指标</w:t>
            </w:r>
          </w:p>
        </w:tc>
        <w:tc>
          <w:tcPr>
            <w:tcW w:w="1714" w:type="dxa"/>
            <w:vAlign w:val="center"/>
          </w:tcPr>
          <w:p>
            <w:pPr>
              <w:spacing w:line="432" w:lineRule="exact"/>
              <w:ind w:firstLine="21" w:firstLineChars="8"/>
              <w:jc w:val="center"/>
              <w:rPr>
                <w:rFonts w:ascii="黑体" w:hAnsi="黑体" w:eastAsia="黑体" w:cs="Times New Roman"/>
                <w:color w:val="000000"/>
                <w:sz w:val="28"/>
                <w:szCs w:val="28"/>
              </w:rPr>
            </w:pPr>
            <w:r>
              <w:rPr>
                <w:rFonts w:hint="eastAsia" w:ascii="黑体" w:hAnsi="黑体" w:eastAsia="黑体" w:cs="黑体"/>
                <w:color w:val="000000"/>
                <w:sz w:val="28"/>
                <w:szCs w:val="28"/>
              </w:rPr>
              <w:t>二级指标</w:t>
            </w:r>
          </w:p>
        </w:tc>
        <w:tc>
          <w:tcPr>
            <w:tcW w:w="3118" w:type="dxa"/>
            <w:vAlign w:val="center"/>
          </w:tcPr>
          <w:p>
            <w:pPr>
              <w:spacing w:line="432" w:lineRule="exact"/>
              <w:ind w:firstLine="21" w:firstLineChars="8"/>
              <w:jc w:val="center"/>
              <w:rPr>
                <w:rFonts w:ascii="黑体" w:hAnsi="黑体" w:eastAsia="黑体" w:cs="Times New Roman"/>
                <w:color w:val="000000"/>
                <w:sz w:val="28"/>
                <w:szCs w:val="28"/>
              </w:rPr>
            </w:pPr>
            <w:r>
              <w:rPr>
                <w:rFonts w:hint="eastAsia" w:ascii="黑体" w:hAnsi="黑体" w:eastAsia="黑体" w:cs="黑体"/>
                <w:color w:val="000000"/>
                <w:sz w:val="28"/>
                <w:szCs w:val="28"/>
              </w:rPr>
              <w:t>观测点</w:t>
            </w:r>
          </w:p>
        </w:tc>
        <w:tc>
          <w:tcPr>
            <w:tcW w:w="12919" w:type="dxa"/>
            <w:vAlign w:val="center"/>
          </w:tcPr>
          <w:p>
            <w:pPr>
              <w:spacing w:line="432" w:lineRule="exact"/>
              <w:ind w:firstLine="21" w:firstLineChars="8"/>
              <w:jc w:val="center"/>
              <w:rPr>
                <w:rFonts w:ascii="黑体" w:hAnsi="黑体" w:eastAsia="黑体" w:cs="Times New Roman"/>
                <w:color w:val="000000"/>
                <w:sz w:val="28"/>
                <w:szCs w:val="28"/>
              </w:rPr>
            </w:pPr>
            <w:r>
              <w:rPr>
                <w:rFonts w:ascii="黑体" w:hAnsi="黑体" w:eastAsia="黑体" w:cs="黑体"/>
                <w:color w:val="000000"/>
                <w:sz w:val="28"/>
                <w:szCs w:val="28"/>
              </w:rPr>
              <w:t xml:space="preserve">    </w:t>
            </w:r>
            <w:r>
              <w:rPr>
                <w:rFonts w:hint="eastAsia" w:ascii="黑体" w:hAnsi="黑体" w:eastAsia="黑体" w:cs="黑体"/>
                <w:color w:val="000000"/>
                <w:sz w:val="28"/>
                <w:szCs w:val="28"/>
              </w:rPr>
              <w:t>说</w:t>
            </w:r>
            <w:r>
              <w:rPr>
                <w:rFonts w:ascii="黑体" w:hAnsi="黑体" w:eastAsia="黑体" w:cs="黑体"/>
                <w:color w:val="000000"/>
                <w:sz w:val="28"/>
                <w:szCs w:val="28"/>
              </w:rPr>
              <w:t xml:space="preserve">    </w:t>
            </w:r>
            <w:r>
              <w:rPr>
                <w:rFonts w:hint="eastAsia" w:ascii="黑体" w:hAnsi="黑体" w:eastAsia="黑体" w:cs="黑体"/>
                <w:color w:val="000000"/>
                <w:sz w:val="28"/>
                <w:szCs w:val="28"/>
              </w:rPr>
              <w:t>明</w:t>
            </w:r>
          </w:p>
        </w:tc>
        <w:tc>
          <w:tcPr>
            <w:tcW w:w="2268" w:type="dxa"/>
          </w:tcPr>
          <w:p>
            <w:pPr>
              <w:spacing w:line="432" w:lineRule="exact"/>
              <w:ind w:firstLine="21" w:firstLineChars="8"/>
              <w:jc w:val="center"/>
              <w:rPr>
                <w:rFonts w:ascii="黑体" w:hAnsi="黑体" w:eastAsia="黑体" w:cs="Times New Roman"/>
                <w:color w:val="000000"/>
                <w:sz w:val="28"/>
                <w:szCs w:val="28"/>
              </w:rPr>
            </w:pPr>
            <w:r>
              <w:rPr>
                <w:rFonts w:hint="eastAsia" w:ascii="黑体" w:hAnsi="黑体" w:eastAsia="黑体" w:cs="黑体"/>
                <w:color w:val="000000"/>
                <w:sz w:val="28"/>
                <w:szCs w:val="28"/>
              </w:rPr>
              <w:t>是否达标</w:t>
            </w:r>
          </w:p>
          <w:p>
            <w:pPr>
              <w:spacing w:line="440" w:lineRule="exact"/>
              <w:jc w:val="center"/>
              <w:rPr>
                <w:rFonts w:ascii="方正黑体_GBK" w:hAnsi="方正黑体_GBK" w:eastAsia="方正黑体_GBK" w:cs="Times New Roman"/>
                <w:color w:val="000000"/>
                <w:sz w:val="28"/>
                <w:szCs w:val="28"/>
              </w:rPr>
            </w:pPr>
            <w:r>
              <w:rPr>
                <w:rFonts w:hint="eastAsia" w:ascii="黑体" w:hAnsi="黑体" w:eastAsia="黑体" w:cs="黑体"/>
                <w:color w:val="000000"/>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restart"/>
            <w:vAlign w:val="center"/>
          </w:tcPr>
          <w:p>
            <w:pPr>
              <w:spacing w:line="440" w:lineRule="exact"/>
              <w:jc w:val="center"/>
              <w:rPr>
                <w:rFonts w:ascii="黑体" w:hAnsi="黑体" w:eastAsia="黑体" w:cs="Times New Roman"/>
                <w:b/>
                <w:bCs/>
                <w:color w:val="000000"/>
                <w:sz w:val="28"/>
                <w:szCs w:val="28"/>
              </w:rPr>
            </w:pPr>
            <w:r>
              <w:rPr>
                <w:rFonts w:hint="eastAsia" w:ascii="黑体" w:hAnsi="黑体" w:eastAsia="黑体" w:cs="黑体"/>
                <w:b/>
                <w:bCs/>
                <w:color w:val="000000"/>
                <w:sz w:val="28"/>
                <w:szCs w:val="28"/>
              </w:rPr>
              <w:t>教学规范</w:t>
            </w:r>
          </w:p>
        </w:tc>
        <w:tc>
          <w:tcPr>
            <w:tcW w:w="1714"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政治立场</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坚持正确的政治方向</w:t>
            </w:r>
          </w:p>
        </w:tc>
        <w:tc>
          <w:tcPr>
            <w:tcW w:w="12919" w:type="dxa"/>
            <w:vAlign w:val="center"/>
          </w:tcPr>
          <w:p>
            <w:pPr>
              <w:spacing w:line="460" w:lineRule="exact"/>
              <w:jc w:val="left"/>
              <w:rPr>
                <w:rFonts w:ascii="仿宋_GB2312" w:hAnsi="华文仿宋" w:eastAsia="Times New Roman" w:cs="Times New Roman"/>
                <w:b/>
                <w:bCs/>
                <w:color w:val="000000"/>
                <w:sz w:val="28"/>
                <w:szCs w:val="28"/>
              </w:rPr>
            </w:pPr>
            <w:r>
              <w:rPr>
                <w:rFonts w:ascii="仿宋_GB2312" w:hAnsi="仿宋" w:eastAsia="Times New Roman" w:cs="Times New Roman"/>
                <w:color w:val="000000"/>
                <w:sz w:val="28"/>
                <w:szCs w:val="28"/>
              </w:rPr>
              <w:t>一切教学活动必须严格遵守政治纪律，认真贯彻执行党和国家的教育方针、政策，不得有损于国家利益和学生的健康成长。</w:t>
            </w:r>
          </w:p>
        </w:tc>
        <w:tc>
          <w:tcPr>
            <w:tcW w:w="2268" w:type="dxa"/>
            <w:vAlign w:val="center"/>
          </w:tcPr>
          <w:p>
            <w:pPr>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职业操守</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落实立德树人根本任务</w:t>
            </w:r>
          </w:p>
        </w:tc>
        <w:tc>
          <w:tcPr>
            <w:tcW w:w="12919" w:type="dxa"/>
            <w:vAlign w:val="center"/>
          </w:tcPr>
          <w:p>
            <w:pPr>
              <w:spacing w:line="460" w:lineRule="exact"/>
              <w:jc w:val="left"/>
              <w:rPr>
                <w:rFonts w:ascii="仿宋_GB2312" w:hAnsi="华文仿宋" w:eastAsia="Times New Roman" w:cs="Times New Roman"/>
                <w:b/>
                <w:bCs/>
                <w:color w:val="000000"/>
                <w:sz w:val="28"/>
                <w:szCs w:val="28"/>
              </w:rPr>
            </w:pPr>
            <w:r>
              <w:rPr>
                <w:rFonts w:ascii="仿宋_GB2312" w:hAnsi="仿宋" w:eastAsia="Times New Roman" w:cs="Times New Roman"/>
                <w:color w:val="000000"/>
                <w:sz w:val="28"/>
                <w:szCs w:val="28"/>
              </w:rPr>
              <w:t>教学活动应符合高等教育基本规律和人才成长规律，充分发挥教师的主导作用和学生的主体作用，把立德树人内化到教学的各个环节，坚持以文化人、以德育人，不断提高学生思想水平、政治觉悟、道德品质、文化素养。</w:t>
            </w:r>
          </w:p>
        </w:tc>
        <w:tc>
          <w:tcPr>
            <w:tcW w:w="2268" w:type="dxa"/>
            <w:vAlign w:val="center"/>
          </w:tcPr>
          <w:p>
            <w:pPr>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恪守教育的基本信念</w:t>
            </w:r>
          </w:p>
        </w:tc>
        <w:tc>
          <w:tcPr>
            <w:tcW w:w="12919" w:type="dxa"/>
            <w:vAlign w:val="center"/>
          </w:tcPr>
          <w:p>
            <w:pPr>
              <w:tabs>
                <w:tab w:val="left" w:pos="5064"/>
              </w:tabs>
              <w:spacing w:line="460" w:lineRule="exact"/>
              <w:jc w:val="left"/>
              <w:rPr>
                <w:rFonts w:ascii="仿宋_GB2312" w:hAnsi="华文仿宋" w:eastAsia="Times New Roman" w:cs="Times New Roman"/>
                <w:b/>
                <w:bCs/>
                <w:color w:val="000000"/>
                <w:sz w:val="28"/>
                <w:szCs w:val="28"/>
              </w:rPr>
            </w:pPr>
            <w:r>
              <w:rPr>
                <w:rFonts w:ascii="仿宋_GB2312" w:hAnsi="仿宋" w:eastAsia="Times New Roman" w:cs="Times New Roman"/>
                <w:color w:val="000000"/>
                <w:sz w:val="28"/>
                <w:szCs w:val="28"/>
              </w:rPr>
              <w:t>教书育人是教师的责任和义务，教师在教学活动中须遵守师德规范，爱岗敬业，严于律己，公正、公平地对待每位学生，尊重学生人格，创造有利于学生健康成长的教学环境。</w:t>
            </w:r>
          </w:p>
        </w:tc>
        <w:tc>
          <w:tcPr>
            <w:tcW w:w="2268" w:type="dxa"/>
            <w:vAlign w:val="center"/>
          </w:tcPr>
          <w:p>
            <w:pPr>
              <w:tabs>
                <w:tab w:val="left" w:pos="506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严谨执教</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认真完成教学任务</w:t>
            </w:r>
          </w:p>
        </w:tc>
        <w:tc>
          <w:tcPr>
            <w:tcW w:w="12919" w:type="dxa"/>
            <w:vAlign w:val="center"/>
          </w:tcPr>
          <w:p>
            <w:pPr>
              <w:spacing w:line="460" w:lineRule="exact"/>
              <w:jc w:val="left"/>
              <w:rPr>
                <w:rFonts w:ascii="仿宋_GB2312" w:hAnsi="华文仿宋" w:eastAsia="Times New Roman" w:cs="Times New Roman"/>
                <w:b/>
                <w:bCs/>
                <w:color w:val="000000"/>
                <w:sz w:val="28"/>
                <w:szCs w:val="28"/>
              </w:rPr>
            </w:pPr>
            <w:r>
              <w:rPr>
                <w:rFonts w:ascii="仿宋_GB2312" w:hAnsi="仿宋" w:eastAsia="Times New Roman" w:cs="Times New Roman"/>
                <w:color w:val="000000"/>
                <w:sz w:val="28"/>
                <w:szCs w:val="28"/>
              </w:rPr>
              <w:t>遵循教学客观规律，认真完成教学任务，维护课堂纪律，对学生在教学过程中的不当行为加以及时制止、批评教育，定期进行教学质量检查，每门课程至少应有</w:t>
            </w:r>
            <w:r>
              <w:rPr>
                <w:rFonts w:ascii="仿宋_GB2312" w:hAnsi="仿宋" w:eastAsia="Times New Roman" w:cs="仿宋_GB2312"/>
                <w:color w:val="000000"/>
                <w:sz w:val="28"/>
                <w:szCs w:val="28"/>
              </w:rPr>
              <w:t>1</w:t>
            </w:r>
            <w:r>
              <w:rPr>
                <w:rFonts w:ascii="仿宋_GB2312" w:hAnsi="仿宋" w:eastAsia="Times New Roman" w:cs="Times New Roman"/>
                <w:color w:val="000000"/>
                <w:sz w:val="28"/>
                <w:szCs w:val="28"/>
              </w:rPr>
              <w:t>次教学考核，作为学生课程成绩的评价标准之一。</w:t>
            </w:r>
          </w:p>
        </w:tc>
        <w:tc>
          <w:tcPr>
            <w:tcW w:w="2268" w:type="dxa"/>
            <w:vAlign w:val="center"/>
          </w:tcPr>
          <w:p>
            <w:pPr>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为人师表</w:t>
            </w:r>
          </w:p>
        </w:tc>
        <w:tc>
          <w:tcPr>
            <w:tcW w:w="12919" w:type="dxa"/>
            <w:vAlign w:val="center"/>
          </w:tcPr>
          <w:p>
            <w:pPr>
              <w:spacing w:line="460" w:lineRule="exact"/>
              <w:jc w:val="left"/>
              <w:rPr>
                <w:rFonts w:ascii="仿宋_GB2312" w:hAnsi="华文仿宋" w:eastAsia="Times New Roman" w:cs="Times New Roman"/>
                <w:b/>
                <w:bCs/>
                <w:color w:val="000000"/>
                <w:sz w:val="28"/>
                <w:szCs w:val="28"/>
              </w:rPr>
            </w:pPr>
            <w:r>
              <w:rPr>
                <w:rFonts w:ascii="仿宋_GB2312" w:hAnsi="仿宋" w:eastAsia="Times New Roman" w:cs="Times New Roman"/>
                <w:color w:val="000000"/>
                <w:sz w:val="28"/>
                <w:szCs w:val="28"/>
              </w:rPr>
              <w:t>教风端正，着装得体，言行文明，以优良的思想品德、仪表、语言、行为对学生言传身教。</w:t>
            </w:r>
          </w:p>
        </w:tc>
        <w:tc>
          <w:tcPr>
            <w:tcW w:w="2268" w:type="dxa"/>
            <w:vAlign w:val="center"/>
          </w:tcPr>
          <w:p>
            <w:pPr>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严格遵守学校教学管理制度</w:t>
            </w:r>
          </w:p>
        </w:tc>
        <w:tc>
          <w:tcPr>
            <w:tcW w:w="12919" w:type="dxa"/>
            <w:vAlign w:val="center"/>
          </w:tcPr>
          <w:p>
            <w:pPr>
              <w:tabs>
                <w:tab w:val="left" w:pos="4544"/>
              </w:tabs>
              <w:spacing w:line="460" w:lineRule="exact"/>
              <w:jc w:val="left"/>
              <w:rPr>
                <w:rFonts w:ascii="仿宋_GB2312" w:hAnsi="华文仿宋" w:eastAsia="Times New Roman" w:cs="Times New Roman"/>
                <w:color w:val="000000"/>
                <w:sz w:val="28"/>
                <w:szCs w:val="28"/>
              </w:rPr>
            </w:pPr>
            <w:r>
              <w:rPr>
                <w:rFonts w:ascii="仿宋_GB2312" w:hAnsi="仿宋" w:eastAsia="Times New Roman" w:cs="Times New Roman"/>
                <w:color w:val="000000"/>
                <w:sz w:val="28"/>
                <w:szCs w:val="28"/>
              </w:rPr>
              <w:t>按照作息时间上课、下课，不得无故旷课、迟到或提前下课，不得擅自调课、停课、请人代课。教师在课堂上不得做与教学无关的事情。</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restart"/>
            <w:vAlign w:val="center"/>
          </w:tcPr>
          <w:p>
            <w:pPr>
              <w:spacing w:line="440" w:lineRule="exact"/>
              <w:jc w:val="center"/>
              <w:rPr>
                <w:rFonts w:ascii="黑体" w:hAnsi="黑体" w:eastAsia="黑体" w:cs="Times New Roman"/>
                <w:b/>
                <w:bCs/>
                <w:color w:val="000000"/>
                <w:sz w:val="28"/>
                <w:szCs w:val="28"/>
              </w:rPr>
            </w:pPr>
            <w:r>
              <w:rPr>
                <w:rFonts w:hint="eastAsia" w:ascii="黑体" w:hAnsi="黑体" w:eastAsia="黑体" w:cs="黑体"/>
                <w:b/>
                <w:bCs/>
                <w:color w:val="000000"/>
                <w:sz w:val="28"/>
                <w:szCs w:val="28"/>
              </w:rPr>
              <w:t>教学组织</w:t>
            </w: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备课</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确定教学大纲</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认真钻研和掌握教材的全部内容及结构，统筹组织安排本课程各环节的教学工作，具有明确的教学大纲。</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制订教学日历</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根据教学大纲，安排教学进度，制订教学日历。</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准备教辅材料</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按照教学大纲要求准备教辅材料，根据需要开发制作电子课件，认真撰写教案或讲稿，并选定与教材匹配的参考书。</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授课</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明确课程要求</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在开课之初应准备课程简介，依据课程教学大纲简要介绍课程概况、考核方式、平时成绩构成以及课程总成绩的结构比例，对课程学习提出明确的要求。</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认真讲解课程内容</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在讲授过程中，任课教师应全面把握课程教学的深度、广度，注意课程内容的前后衔接，积极运用灵活多样的教学方法，着重阐述基本理论和基本概念，讲清教学内容的重点和难点。</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教学互动</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在教学活动中设计互动环节，针对教学目的和教学重难点，通过归纳互动问题、精选讨论案例等方式，加强学生在教学过程中的主动参与，培养学生的自主学习意识和创新能力。</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教学形式规范</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在课堂上应采用普通话进行讲授，做到语言清晰流畅，书写、绘图工整规范。严格按照安排组织教学，不得任意增加或削减课时。</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tabs>
                <w:tab w:val="left" w:pos="4544"/>
              </w:tabs>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多媒体教学</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课件制作</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根据教学需要制作电子课件，课件内容要与教学内容相一致，科学准确，符合学生认知规律。</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tabs>
                <w:tab w:val="left" w:pos="4544"/>
              </w:tabs>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多媒体操作</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课前做好充分的准备工作，熟练掌握操作规程。遇停电或多媒体设备不能正常使用时，应坚持用其它方式讲课，确保课堂教学正常进行。</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辅导答疑</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落实辅导答疑环节</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合理安排答疑时间和地点，做好学生的辅导、答疑工作，以个别答疑为主，对共性的问题可以进行集体辅导。</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作业批改</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布置适量作业</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结合教学要求布置适量作业（含专项练习题、撰写论文、课堂演讲、读书报告等</w:t>
            </w:r>
            <w:r>
              <w:rPr>
                <w:rFonts w:ascii="仿宋_GB2312" w:hAnsi="仿宋" w:eastAsia="Times New Roman" w:cs="仿宋_GB2312"/>
                <w:color w:val="000000"/>
                <w:sz w:val="28"/>
                <w:szCs w:val="28"/>
              </w:rPr>
              <w:t>)</w:t>
            </w:r>
            <w:r>
              <w:rPr>
                <w:rFonts w:ascii="仿宋_GB2312" w:hAnsi="仿宋" w:eastAsia="Times New Roman" w:cs="Times New Roman"/>
                <w:color w:val="000000"/>
                <w:sz w:val="28"/>
                <w:szCs w:val="28"/>
              </w:rPr>
              <w:t>，每门课程不少于</w:t>
            </w:r>
            <w:r>
              <w:rPr>
                <w:rFonts w:ascii="仿宋_GB2312" w:hAnsi="仿宋" w:eastAsia="Times New Roman" w:cs="仿宋_GB2312"/>
                <w:color w:val="000000"/>
                <w:sz w:val="28"/>
                <w:szCs w:val="28"/>
              </w:rPr>
              <w:t>3</w:t>
            </w:r>
            <w:r>
              <w:rPr>
                <w:rFonts w:ascii="仿宋_GB2312" w:hAnsi="仿宋" w:eastAsia="Times New Roman" w:cs="Times New Roman"/>
                <w:color w:val="000000"/>
                <w:sz w:val="28"/>
                <w:szCs w:val="28"/>
              </w:rPr>
              <w:t>次作业，以强化教学效果，提高学生自主学习能力。</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批改作业</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认真细致地批改学生作业，并做好作业成绩登记，作为评定学生平时成绩的重要依据。</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restart"/>
            <w:vAlign w:val="center"/>
          </w:tcPr>
          <w:p>
            <w:pPr>
              <w:spacing w:line="440" w:lineRule="exact"/>
              <w:jc w:val="center"/>
              <w:rPr>
                <w:rFonts w:ascii="黑体" w:hAnsi="黑体" w:eastAsia="黑体" w:cs="Times New Roman"/>
                <w:b/>
                <w:bCs/>
                <w:color w:val="000000"/>
                <w:sz w:val="28"/>
                <w:szCs w:val="28"/>
              </w:rPr>
            </w:pPr>
            <w:r>
              <w:rPr>
                <w:rFonts w:hint="eastAsia" w:ascii="黑体" w:hAnsi="黑体" w:eastAsia="黑体" w:cs="黑体"/>
                <w:b/>
                <w:bCs/>
                <w:color w:val="000000"/>
                <w:sz w:val="28"/>
                <w:szCs w:val="28"/>
              </w:rPr>
              <w:t>学生管理</w:t>
            </w:r>
          </w:p>
          <w:p>
            <w:pPr>
              <w:spacing w:line="440" w:lineRule="exact"/>
              <w:jc w:val="center"/>
              <w:rPr>
                <w:rFonts w:ascii="黑体" w:hAnsi="黑体" w:eastAsia="黑体" w:cs="Times New Roman"/>
                <w:b/>
                <w:bCs/>
                <w:color w:val="000000"/>
                <w:sz w:val="28"/>
                <w:szCs w:val="28"/>
              </w:rPr>
            </w:pPr>
          </w:p>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严格执行学生管理制度</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考核学生出勤</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严格要求学生按时上课，不得迟到、早退或旷课。因病、因事而不能上课者须事先请假。应具有学生出勤记录。</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规范学生行为</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严格要求学生遵守高等学校学生行为准则。进入教室衣着应大方、整洁得体；严禁在教室内吸烟或将食物带进教室；杜绝在课堂内睡觉或大声喧哗。</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维护教学纪律</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严格要求学生自觉遵守课堂纪律，保持教室肃静，认真听讲，积极参加课堂研讨，不得做与上课无关的事情。督促学生按照学习要求，合理进行预习、复习，认真完成作业。</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强调尊重教师</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强调尊重教师</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教育学生尊重教师。对学生和相关部门提出的关于教学工作的意见，应认真吸纳，及时整改。</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教育学生爱护教学设施</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教育学生爱护教学设施</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严格要求学生爱护各类教学设施，不得挪动、损坏教学设施，严禁在课桌椅、墙壁等教学设施上涂画、张贴。</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restart"/>
            <w:vAlign w:val="center"/>
          </w:tcPr>
          <w:p>
            <w:pPr>
              <w:spacing w:line="440" w:lineRule="exact"/>
              <w:jc w:val="center"/>
              <w:rPr>
                <w:rFonts w:ascii="黑体" w:hAnsi="黑体" w:eastAsia="黑体" w:cs="Times New Roman"/>
                <w:b/>
                <w:bCs/>
                <w:color w:val="000000"/>
                <w:sz w:val="28"/>
                <w:szCs w:val="28"/>
              </w:rPr>
            </w:pPr>
            <w:r>
              <w:rPr>
                <w:rFonts w:hint="eastAsia" w:ascii="黑体" w:hAnsi="黑体" w:eastAsia="黑体" w:cs="黑体"/>
                <w:b/>
                <w:bCs/>
                <w:color w:val="000000"/>
                <w:sz w:val="28"/>
                <w:szCs w:val="28"/>
              </w:rPr>
              <w:t>实验教学</w:t>
            </w: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实验设备管理</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实验安全管理</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对学生进行安全教育，采取必要的防护措施。</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实验设备保障</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加强实验教学的管理，保证实验设备和器材的正常运行。</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实验教学组织</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指导实验</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按照教学要求制订实验指导，明确实验目的、要求和内容，实验教师应认真准备并指导学生实验，取得可靠数据，分析实验结果。</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实验检查与监督</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加强对学生实验的检查和监督，及时处理实验过程中出现的问题。认真审核学生实验方案和实验数据，及时批改学生的实验报告。</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restart"/>
            <w:vAlign w:val="center"/>
          </w:tcPr>
          <w:p>
            <w:pPr>
              <w:spacing w:line="440" w:lineRule="exact"/>
              <w:jc w:val="center"/>
              <w:rPr>
                <w:rFonts w:ascii="黑体" w:hAnsi="黑体" w:eastAsia="黑体" w:cs="Times New Roman"/>
                <w:b/>
                <w:bCs/>
                <w:color w:val="000000"/>
                <w:sz w:val="28"/>
                <w:szCs w:val="28"/>
              </w:rPr>
            </w:pPr>
            <w:r>
              <w:rPr>
                <w:rFonts w:hint="eastAsia" w:ascii="黑体" w:hAnsi="黑体" w:eastAsia="黑体" w:cs="黑体"/>
                <w:b/>
                <w:bCs/>
                <w:color w:val="000000"/>
                <w:sz w:val="28"/>
                <w:szCs w:val="28"/>
              </w:rPr>
              <w:t>实习实训教学</w:t>
            </w:r>
          </w:p>
        </w:tc>
        <w:tc>
          <w:tcPr>
            <w:tcW w:w="1714" w:type="dxa"/>
            <w:vMerge w:val="restart"/>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实习实训组织</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实习实训安排</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根据专业培养目标和教学计划制订实习实训大纲，确定实习实训内容，选定实习实训场所，落实学习计划。</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实习实训安全教育</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实习实训过程中必须加强思想政治工作和安全教育，做好安全防护工作，妥善安排好学生的生活。</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Merge w:val="continue"/>
            <w:vAlign w:val="center"/>
          </w:tcPr>
          <w:p>
            <w:pPr>
              <w:spacing w:line="380" w:lineRule="exact"/>
              <w:jc w:val="center"/>
              <w:rPr>
                <w:rFonts w:ascii="黑体" w:hAnsi="黑体" w:eastAsia="黑体" w:cs="Times New Roman"/>
                <w:color w:val="000000"/>
                <w:sz w:val="24"/>
                <w:szCs w:val="24"/>
              </w:rPr>
            </w:pP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实习实训考核</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实习实训结束时应及时做好考核，根据学生实习实训情况进行评分，并做好总结工作。</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 w:type="dxa"/>
            <w:vMerge w:val="continue"/>
            <w:vAlign w:val="center"/>
          </w:tcPr>
          <w:p>
            <w:pPr>
              <w:spacing w:line="440" w:lineRule="exact"/>
              <w:jc w:val="center"/>
              <w:rPr>
                <w:rFonts w:ascii="黑体" w:hAnsi="黑体" w:eastAsia="黑体" w:cs="Times New Roman"/>
                <w:b/>
                <w:bCs/>
                <w:color w:val="000000"/>
                <w:sz w:val="28"/>
                <w:szCs w:val="28"/>
              </w:rPr>
            </w:pPr>
          </w:p>
        </w:tc>
        <w:tc>
          <w:tcPr>
            <w:tcW w:w="1714"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实习实训教学指导</w:t>
            </w:r>
          </w:p>
        </w:tc>
        <w:tc>
          <w:tcPr>
            <w:tcW w:w="3118" w:type="dxa"/>
            <w:vAlign w:val="center"/>
          </w:tcPr>
          <w:p>
            <w:pPr>
              <w:spacing w:line="38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实习实训教学指导</w:t>
            </w:r>
          </w:p>
        </w:tc>
        <w:tc>
          <w:tcPr>
            <w:tcW w:w="12919" w:type="dxa"/>
            <w:vAlign w:val="center"/>
          </w:tcPr>
          <w:p>
            <w:pPr>
              <w:tabs>
                <w:tab w:val="left" w:pos="4544"/>
              </w:tabs>
              <w:spacing w:line="460" w:lineRule="exact"/>
              <w:jc w:val="left"/>
              <w:rPr>
                <w:rFonts w:ascii="仿宋_GB2312" w:hAnsi="仿宋" w:eastAsia="Times New Roman" w:cs="Times New Roman"/>
                <w:color w:val="000000"/>
                <w:sz w:val="28"/>
                <w:szCs w:val="28"/>
              </w:rPr>
            </w:pPr>
            <w:r>
              <w:rPr>
                <w:rFonts w:ascii="仿宋_GB2312" w:hAnsi="仿宋" w:eastAsia="Times New Roman" w:cs="Times New Roman"/>
                <w:color w:val="000000"/>
                <w:sz w:val="28"/>
                <w:szCs w:val="28"/>
              </w:rPr>
              <w:t>提前确定实习实训指导教师，指导教师要明确分工，根据实习实训现场具体情况制订实习实训进程计划、实习实训内容与要求。对新开辟的实习实训场所或首次指导实习实训的教师，应在学生进场前提前到现场作好准备工作。</w:t>
            </w:r>
          </w:p>
        </w:tc>
        <w:tc>
          <w:tcPr>
            <w:tcW w:w="2268" w:type="dxa"/>
            <w:vAlign w:val="center"/>
          </w:tcPr>
          <w:p>
            <w:pPr>
              <w:tabs>
                <w:tab w:val="left" w:pos="4544"/>
              </w:tabs>
              <w:spacing w:line="380" w:lineRule="exact"/>
              <w:jc w:val="center"/>
              <w:rPr>
                <w:rFonts w:ascii="仿宋_GB2312" w:hAnsi="仿宋" w:eastAsia="Times New Roman" w:cs="Times New Roman"/>
                <w:color w:val="000000"/>
                <w:sz w:val="28"/>
                <w:szCs w:val="28"/>
              </w:rPr>
            </w:pPr>
          </w:p>
        </w:tc>
      </w:tr>
    </w:tbl>
    <w:p>
      <w:pPr>
        <w:widowControl/>
        <w:jc w:val="left"/>
        <w:rPr>
          <w:rFonts w:ascii="华文仿宋" w:hAnsi="华文仿宋" w:eastAsia="华文仿宋" w:cs="Times New Roman"/>
          <w:b/>
          <w:bCs/>
          <w:color w:val="000000"/>
          <w:sz w:val="28"/>
          <w:szCs w:val="28"/>
        </w:rPr>
      </w:pPr>
      <w:r>
        <w:rPr>
          <w:rFonts w:ascii="华文仿宋" w:hAnsi="华文仿宋" w:eastAsia="华文仿宋" w:cs="Times New Roman"/>
          <w:b/>
          <w:bCs/>
          <w:color w:val="000000"/>
          <w:sz w:val="28"/>
          <w:szCs w:val="28"/>
        </w:rPr>
        <w:br w:type="page"/>
      </w:r>
    </w:p>
    <w:p>
      <w:pPr>
        <w:spacing w:before="290" w:beforeLines="100" w:after="290" w:afterLines="100" w:line="440" w:lineRule="exact"/>
        <w:ind w:firstLine="562" w:firstLineChars="200"/>
        <w:rPr>
          <w:rFonts w:ascii="黑体" w:hAnsi="黑体" w:eastAsia="黑体" w:cs="Times New Roman"/>
          <w:b/>
          <w:bCs/>
          <w:color w:val="000000"/>
          <w:sz w:val="30"/>
          <w:szCs w:val="30"/>
        </w:rPr>
      </w:pPr>
      <w:r>
        <w:rPr>
          <w:rFonts w:hint="eastAsia" w:ascii="黑体" w:hAnsi="黑体" w:eastAsia="黑体" w:cs="黑体"/>
          <w:b/>
          <w:bCs/>
          <w:color w:val="000000"/>
          <w:sz w:val="30"/>
          <w:szCs w:val="30"/>
        </w:rPr>
        <w:t>二、安徽省普通高校基本教学活动示范创建达标情况</w:t>
      </w:r>
    </w:p>
    <w:tbl>
      <w:tblPr>
        <w:tblStyle w:val="2"/>
        <w:tblW w:w="2115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701"/>
        <w:gridCol w:w="11785"/>
        <w:gridCol w:w="17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Align w:val="center"/>
          </w:tcPr>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指标</w:t>
            </w:r>
          </w:p>
        </w:tc>
        <w:tc>
          <w:tcPr>
            <w:tcW w:w="1701" w:type="dxa"/>
            <w:vAlign w:val="center"/>
          </w:tcPr>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观测点</w:t>
            </w:r>
          </w:p>
        </w:tc>
        <w:tc>
          <w:tcPr>
            <w:tcW w:w="11785" w:type="dxa"/>
            <w:vAlign w:val="center"/>
          </w:tcPr>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说</w:t>
            </w:r>
            <w:r>
              <w:rPr>
                <w:rFonts w:ascii="黑体" w:hAnsi="黑体" w:eastAsia="黑体" w:cs="黑体"/>
                <w:color w:val="000000"/>
                <w:sz w:val="28"/>
                <w:szCs w:val="28"/>
              </w:rPr>
              <w:t xml:space="preserve">    </w:t>
            </w:r>
            <w:r>
              <w:rPr>
                <w:rFonts w:hint="eastAsia" w:ascii="黑体" w:hAnsi="黑体" w:eastAsia="黑体" w:cs="黑体"/>
                <w:color w:val="000000"/>
                <w:sz w:val="28"/>
                <w:szCs w:val="28"/>
              </w:rPr>
              <w:t>明</w:t>
            </w:r>
          </w:p>
        </w:tc>
        <w:tc>
          <w:tcPr>
            <w:tcW w:w="1701" w:type="dxa"/>
            <w:vAlign w:val="center"/>
          </w:tcPr>
          <w:p>
            <w:pPr>
              <w:spacing w:line="432" w:lineRule="exact"/>
              <w:ind w:firstLine="21" w:firstLineChars="8"/>
              <w:jc w:val="center"/>
              <w:rPr>
                <w:rFonts w:ascii="黑体" w:hAnsi="黑体" w:eastAsia="黑体" w:cs="Times New Roman"/>
                <w:color w:val="000000"/>
                <w:sz w:val="28"/>
                <w:szCs w:val="28"/>
              </w:rPr>
            </w:pPr>
            <w:r>
              <w:rPr>
                <w:rFonts w:hint="eastAsia" w:ascii="黑体" w:hAnsi="黑体" w:eastAsia="黑体" w:cs="黑体"/>
                <w:color w:val="000000"/>
                <w:sz w:val="28"/>
                <w:szCs w:val="28"/>
              </w:rPr>
              <w:t>是否达标</w:t>
            </w:r>
          </w:p>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（是／否）</w:t>
            </w:r>
          </w:p>
        </w:tc>
        <w:tc>
          <w:tcPr>
            <w:tcW w:w="4677" w:type="dxa"/>
            <w:vAlign w:val="center"/>
          </w:tcPr>
          <w:p>
            <w:pPr>
              <w:spacing w:line="432" w:lineRule="exact"/>
              <w:jc w:val="center"/>
              <w:rPr>
                <w:rFonts w:ascii="黑体" w:hAnsi="黑体" w:eastAsia="黑体" w:cs="Times New Roman"/>
                <w:color w:val="000000"/>
                <w:sz w:val="28"/>
                <w:szCs w:val="28"/>
              </w:rPr>
            </w:pPr>
            <w:r>
              <w:rPr>
                <w:rFonts w:hint="eastAsia" w:ascii="黑体" w:hAnsi="黑体" w:eastAsia="黑体" w:cs="黑体"/>
                <w:color w:val="000000"/>
                <w:sz w:val="28"/>
                <w:szCs w:val="28"/>
              </w:rPr>
              <w:t>量化指标说明及支撑材料目录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5" w:type="dxa"/>
            <w:gridSpan w:val="5"/>
            <w:vAlign w:val="center"/>
          </w:tcPr>
          <w:p>
            <w:pPr>
              <w:spacing w:line="432" w:lineRule="exact"/>
              <w:jc w:val="center"/>
              <w:rPr>
                <w:rFonts w:ascii="黑体" w:hAnsi="黑体" w:eastAsia="黑体" w:cs="Times New Roman"/>
                <w:color w:val="000000"/>
                <w:sz w:val="28"/>
                <w:szCs w:val="28"/>
              </w:rPr>
            </w:pPr>
            <w:r>
              <w:rPr>
                <w:rFonts w:hint="eastAsia" w:ascii="黑体" w:hAnsi="黑体" w:eastAsia="黑体" w:cs="黑体"/>
                <w:sz w:val="28"/>
                <w:szCs w:val="28"/>
              </w:rPr>
              <w:t>（在符合标准化的基础上，满足示范标准中“教学目标”和“教学研究”指标中的标准，并达到“教学方式”指标中的一项标准者，可以申请创建教学示范课）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restart"/>
            <w:vAlign w:val="center"/>
          </w:tcPr>
          <w:p>
            <w:pPr>
              <w:spacing w:line="460" w:lineRule="exact"/>
              <w:jc w:val="center"/>
              <w:rPr>
                <w:rFonts w:ascii="黑体" w:hAnsi="黑体" w:eastAsia="黑体" w:cs="Times New Roman"/>
                <w:b/>
                <w:bCs/>
                <w:color w:val="000000"/>
                <w:sz w:val="24"/>
                <w:szCs w:val="24"/>
              </w:rPr>
            </w:pPr>
            <w:r>
              <w:rPr>
                <w:rFonts w:hint="eastAsia" w:ascii="黑体" w:hAnsi="黑体" w:eastAsia="黑体" w:cs="黑体"/>
                <w:b/>
                <w:bCs/>
                <w:color w:val="000000"/>
                <w:sz w:val="24"/>
                <w:szCs w:val="24"/>
              </w:rPr>
              <w:t>教学目标</w:t>
            </w:r>
          </w:p>
        </w:tc>
        <w:tc>
          <w:tcPr>
            <w:tcW w:w="1701" w:type="dxa"/>
            <w:vAlign w:val="center"/>
          </w:tcPr>
          <w:p>
            <w:pPr>
              <w:spacing w:line="46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因材施教</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坚持以学生为中心的教学理念，根据教学活动的内容，悉心研究教学对象，了解学生的有关情况，注重因材施教，合理组织教学内容，选用科学有效的教学方式和方法，力求做到教学内容与方法的优化组合。</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continue"/>
            <w:vAlign w:val="center"/>
          </w:tcPr>
          <w:p>
            <w:pPr>
              <w:spacing w:line="460" w:lineRule="exact"/>
              <w:jc w:val="center"/>
              <w:rPr>
                <w:rFonts w:ascii="黑体" w:hAnsi="黑体" w:eastAsia="黑体" w:cs="Times New Roman"/>
                <w:b/>
                <w:bCs/>
                <w:color w:val="000000"/>
                <w:sz w:val="24"/>
                <w:szCs w:val="24"/>
              </w:rPr>
            </w:pPr>
          </w:p>
        </w:tc>
        <w:tc>
          <w:tcPr>
            <w:tcW w:w="1701" w:type="dxa"/>
            <w:vAlign w:val="center"/>
          </w:tcPr>
          <w:p>
            <w:pPr>
              <w:spacing w:line="46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着力培养学生能力</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注意教学活动与其它相关教学活动内容的衔接和配合，重视授课效果的信息反馈，在教学中精益求精，突出重点，处理好难点，着力培养学生的自学能力，实践能力和创新能力。</w:t>
            </w:r>
          </w:p>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在实验教学中注重开发综合性、设计性实验，加强对学生的综合应用能力和动手能力的培养。</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restart"/>
            <w:vAlign w:val="center"/>
          </w:tcPr>
          <w:p>
            <w:pPr>
              <w:spacing w:line="460" w:lineRule="exact"/>
              <w:jc w:val="center"/>
              <w:rPr>
                <w:rFonts w:ascii="黑体" w:hAnsi="黑体" w:eastAsia="黑体" w:cs="Times New Roman"/>
                <w:b/>
                <w:bCs/>
                <w:color w:val="000000"/>
                <w:sz w:val="24"/>
                <w:szCs w:val="24"/>
              </w:rPr>
            </w:pPr>
            <w:r>
              <w:rPr>
                <w:rFonts w:hint="eastAsia" w:ascii="黑体" w:hAnsi="黑体" w:eastAsia="黑体" w:cs="黑体"/>
                <w:b/>
                <w:bCs/>
                <w:color w:val="000000"/>
                <w:sz w:val="24"/>
                <w:szCs w:val="24"/>
              </w:rPr>
              <w:t>教学方式</w:t>
            </w:r>
          </w:p>
        </w:tc>
        <w:tc>
          <w:tcPr>
            <w:tcW w:w="1701" w:type="dxa"/>
            <w:vAlign w:val="center"/>
          </w:tcPr>
          <w:p>
            <w:pPr>
              <w:spacing w:line="46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启发式教学</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在教学活动中加强互动环节设计，采用启发式教学，融入问题引导、创设情境、师生研讨等多种启发式教学方法，引导学生积极思维，调动学生参与课堂教学的广度和深度，激发学生保持良好的听课状态，力求使教与学两方面协调一致、共同发展。</w:t>
            </w:r>
          </w:p>
          <w:p>
            <w:pPr>
              <w:tabs>
                <w:tab w:val="left" w:pos="4544"/>
              </w:tabs>
              <w:spacing w:line="460" w:lineRule="exact"/>
              <w:ind w:firstLine="520"/>
              <w:jc w:val="left"/>
              <w:rPr>
                <w:rFonts w:ascii="仿宋" w:hAnsi="仿宋" w:eastAsia="仿宋" w:cs="Times New Roman"/>
                <w:b/>
                <w:bCs/>
                <w:i/>
                <w:iCs/>
                <w:color w:val="FF0000"/>
                <w:sz w:val="28"/>
                <w:szCs w:val="28"/>
              </w:rPr>
            </w:pPr>
            <w:r>
              <w:rPr>
                <w:rFonts w:hint="eastAsia" w:ascii="仿宋" w:hAnsi="仿宋" w:eastAsia="仿宋" w:cs="仿宋"/>
                <w:color w:val="000000"/>
                <w:sz w:val="28"/>
                <w:szCs w:val="28"/>
              </w:rPr>
              <w:t>课堂教学中的互动时间不低于总课程学时的</w:t>
            </w:r>
            <w:r>
              <w:rPr>
                <w:rFonts w:ascii="仿宋" w:hAnsi="仿宋" w:eastAsia="仿宋" w:cs="仿宋"/>
                <w:color w:val="000000"/>
                <w:sz w:val="28"/>
                <w:szCs w:val="28"/>
              </w:rPr>
              <w:t>1/3</w:t>
            </w:r>
            <w:r>
              <w:rPr>
                <w:rFonts w:hint="eastAsia" w:ascii="仿宋" w:hAnsi="仿宋" w:eastAsia="仿宋" w:cs="仿宋"/>
                <w:color w:val="000000"/>
                <w:sz w:val="28"/>
                <w:szCs w:val="28"/>
              </w:rPr>
              <w:t>，其中学生主动参与时间占互动时间不低于</w:t>
            </w:r>
            <w:r>
              <w:rPr>
                <w:rFonts w:ascii="仿宋" w:hAnsi="仿宋" w:eastAsia="仿宋" w:cs="仿宋"/>
                <w:color w:val="000000"/>
                <w:sz w:val="28"/>
                <w:szCs w:val="28"/>
              </w:rPr>
              <w:t>1/2</w:t>
            </w:r>
            <w:r>
              <w:rPr>
                <w:rFonts w:hint="eastAsia" w:ascii="仿宋" w:hAnsi="仿宋" w:eastAsia="仿宋" w:cs="仿宋"/>
                <w:color w:val="000000"/>
                <w:sz w:val="28"/>
                <w:szCs w:val="28"/>
              </w:rPr>
              <w:t>。</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continue"/>
            <w:vAlign w:val="center"/>
          </w:tcPr>
          <w:p>
            <w:pPr>
              <w:spacing w:line="460" w:lineRule="exact"/>
              <w:jc w:val="center"/>
              <w:rPr>
                <w:rFonts w:ascii="黑体" w:hAnsi="黑体" w:eastAsia="黑体" w:cs="Times New Roman"/>
                <w:b/>
                <w:bCs/>
                <w:color w:val="000000"/>
                <w:sz w:val="24"/>
                <w:szCs w:val="24"/>
              </w:rPr>
            </w:pPr>
          </w:p>
        </w:tc>
        <w:tc>
          <w:tcPr>
            <w:tcW w:w="1701" w:type="dxa"/>
            <w:vAlign w:val="center"/>
          </w:tcPr>
          <w:p>
            <w:pPr>
              <w:spacing w:line="46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信息化教学</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在教学中充分利用现代信息技术和信息资源，开发课件、视频、教学软件等教学资源，充分运用网络教学平台，优化教学过程，科学地安排教学的各个环节和要素，创新教学模式和教学方法，提高学生的学习兴趣，支持学生的自主探究学习，提高教学质量和效率。</w:t>
            </w:r>
          </w:p>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信息化教学应依托网络教学平台，在平台上具有完整教学资源（课程简介、教师队伍、教学大纲、授课教案、作业习题、资料库等），以及教学环节数据（学生利用网络教学平台学习课程相关资源的线上学习数据，包括签到、讨论等课堂教学过程中的互动教学数据，学生提供的课外阅读、课程作业等课后学习反馈数据）。</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continue"/>
            <w:vAlign w:val="center"/>
          </w:tcPr>
          <w:p>
            <w:pPr>
              <w:spacing w:line="460" w:lineRule="exact"/>
              <w:jc w:val="center"/>
              <w:rPr>
                <w:rFonts w:ascii="黑体" w:hAnsi="黑体" w:eastAsia="黑体" w:cs="Times New Roman"/>
                <w:b/>
                <w:bCs/>
                <w:color w:val="000000"/>
                <w:sz w:val="24"/>
                <w:szCs w:val="24"/>
              </w:rPr>
            </w:pPr>
          </w:p>
        </w:tc>
        <w:tc>
          <w:tcPr>
            <w:tcW w:w="1701" w:type="dxa"/>
            <w:vAlign w:val="center"/>
          </w:tcPr>
          <w:p>
            <w:pPr>
              <w:spacing w:line="460" w:lineRule="exact"/>
              <w:jc w:val="center"/>
              <w:rPr>
                <w:rFonts w:ascii="黑体" w:hAnsi="黑体" w:eastAsia="黑体" w:cs="Times New Roman"/>
                <w:color w:val="FF0000"/>
                <w:sz w:val="24"/>
                <w:szCs w:val="24"/>
              </w:rPr>
            </w:pPr>
            <w:r>
              <w:rPr>
                <w:rFonts w:hint="eastAsia" w:ascii="黑体" w:hAnsi="黑体" w:eastAsia="黑体" w:cs="黑体"/>
                <w:color w:val="000000"/>
                <w:sz w:val="24"/>
                <w:szCs w:val="24"/>
              </w:rPr>
              <w:t>多元化结合</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突破传统教学模式，根据教学内容开展多种教学方式、教学环节的互动结合。</w:t>
            </w:r>
          </w:p>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课堂教学与课后辅导（答疑）结合。在课后有计划、有准备地进行阶段性辅导，在辅导答疑的过程中，既热情帮助基础较差的学生，又注意发现与培养优秀的学生。阶段性辅导在整个课程教学过程中应不少于</w:t>
            </w:r>
            <w:r>
              <w:rPr>
                <w:rFonts w:ascii="仿宋" w:hAnsi="仿宋" w:eastAsia="仿宋" w:cs="仿宋"/>
                <w:color w:val="000000"/>
                <w:sz w:val="28"/>
                <w:szCs w:val="28"/>
              </w:rPr>
              <w:t>3</w:t>
            </w:r>
            <w:r>
              <w:rPr>
                <w:rFonts w:hint="eastAsia" w:ascii="仿宋" w:hAnsi="仿宋" w:eastAsia="仿宋" w:cs="仿宋"/>
                <w:color w:val="000000"/>
                <w:sz w:val="28"/>
                <w:szCs w:val="28"/>
              </w:rPr>
              <w:t>次，课后辅导答疑应有完备的记录。</w:t>
            </w:r>
          </w:p>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课堂教学与课后练习结合。配合授课进度精选作业，培养学生分析解决问题的能力和独立钻研的精神，汇总并分析学生作业中出现的问题，有针对性地给予指导，改进教学。教师应具有学生课后作业共性问题的分析记录和相应的教学改进措施。</w:t>
            </w:r>
          </w:p>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课堂教学与实践教学结合。在教学过程中注重学生知识应用能力的培养，讲课内容结合知识的实际应用场景，加深学生对理论知识的认识。教师在课程教学过程中应有</w:t>
            </w:r>
            <w:r>
              <w:rPr>
                <w:rFonts w:ascii="仿宋" w:hAnsi="仿宋" w:eastAsia="仿宋" w:cs="仿宋"/>
                <w:color w:val="000000"/>
                <w:sz w:val="28"/>
                <w:szCs w:val="28"/>
              </w:rPr>
              <w:t>1/4</w:t>
            </w:r>
            <w:r>
              <w:rPr>
                <w:rFonts w:hint="eastAsia" w:ascii="仿宋" w:hAnsi="仿宋" w:eastAsia="仿宋" w:cs="仿宋"/>
                <w:color w:val="000000"/>
                <w:sz w:val="28"/>
                <w:szCs w:val="28"/>
              </w:rPr>
              <w:t>以上的学时用于模拟实际应用场景授课，提高学生将知识应用于实践的能力。</w:t>
            </w:r>
          </w:p>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课堂教学与创新创业教育结合。在传授专业知识的过程中融入创新创业教育，全面促进创新创业教育与专业教育深度融合，教师应以训练学生创新能力为目的，探索头脑风暴法、分组讨论法、角色扮演法、案例分析法、情景模拟法、游戏体验法等教学方法改革，培养学生的发散思维、批判性思维、洞察力、决策力、组织协调能力与领导力等各项创新创业素质。</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restart"/>
            <w:vAlign w:val="center"/>
          </w:tcPr>
          <w:p>
            <w:pPr>
              <w:spacing w:line="460" w:lineRule="exact"/>
              <w:jc w:val="center"/>
              <w:rPr>
                <w:rFonts w:ascii="黑体" w:hAnsi="黑体" w:eastAsia="黑体" w:cs="Times New Roman"/>
                <w:b/>
                <w:bCs/>
                <w:color w:val="000000"/>
                <w:sz w:val="24"/>
                <w:szCs w:val="24"/>
              </w:rPr>
            </w:pPr>
            <w:r>
              <w:rPr>
                <w:rFonts w:hint="eastAsia" w:ascii="黑体" w:hAnsi="黑体" w:eastAsia="黑体" w:cs="黑体"/>
                <w:b/>
                <w:bCs/>
                <w:color w:val="000000"/>
                <w:sz w:val="24"/>
                <w:szCs w:val="24"/>
              </w:rPr>
              <w:t>教学研究</w:t>
            </w:r>
          </w:p>
        </w:tc>
        <w:tc>
          <w:tcPr>
            <w:tcW w:w="1701" w:type="dxa"/>
            <w:vAlign w:val="center"/>
          </w:tcPr>
          <w:p>
            <w:pPr>
              <w:spacing w:line="46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教学改革研究</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积极参与教学改革，重视教学研究，不断提高学术水平和业务水平。在保证完成教学大纲规定的教学内容的前提下，推进课程思政，推进课程融合，把最新相关研究成果融入课堂教学之中。应具有与所授课程相关的校级以上教学改革研究立项项目。</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1" w:type="dxa"/>
            <w:vMerge w:val="continue"/>
            <w:vAlign w:val="center"/>
          </w:tcPr>
          <w:p>
            <w:pPr>
              <w:spacing w:line="460" w:lineRule="exact"/>
              <w:jc w:val="center"/>
              <w:rPr>
                <w:rFonts w:ascii="黑体" w:hAnsi="黑体" w:eastAsia="黑体" w:cs="Times New Roman"/>
                <w:b/>
                <w:bCs/>
                <w:color w:val="000000"/>
                <w:sz w:val="24"/>
                <w:szCs w:val="24"/>
              </w:rPr>
            </w:pPr>
          </w:p>
        </w:tc>
        <w:tc>
          <w:tcPr>
            <w:tcW w:w="1701" w:type="dxa"/>
            <w:vAlign w:val="center"/>
          </w:tcPr>
          <w:p>
            <w:pPr>
              <w:spacing w:line="460" w:lineRule="exact"/>
              <w:jc w:val="center"/>
              <w:rPr>
                <w:rFonts w:ascii="黑体" w:hAnsi="黑体" w:eastAsia="黑体" w:cs="Times New Roman"/>
                <w:color w:val="000000"/>
                <w:sz w:val="24"/>
                <w:szCs w:val="24"/>
              </w:rPr>
            </w:pPr>
            <w:r>
              <w:rPr>
                <w:rFonts w:hint="eastAsia" w:ascii="黑体" w:hAnsi="黑体" w:eastAsia="黑体" w:cs="黑体"/>
                <w:color w:val="000000"/>
                <w:sz w:val="24"/>
                <w:szCs w:val="24"/>
              </w:rPr>
              <w:t>教学活动总结</w:t>
            </w:r>
          </w:p>
        </w:tc>
        <w:tc>
          <w:tcPr>
            <w:tcW w:w="11785" w:type="dxa"/>
          </w:tcPr>
          <w:p>
            <w:pPr>
              <w:tabs>
                <w:tab w:val="left" w:pos="4544"/>
              </w:tabs>
              <w:spacing w:line="460" w:lineRule="exact"/>
              <w:ind w:firstLine="520"/>
              <w:jc w:val="left"/>
              <w:rPr>
                <w:rFonts w:ascii="仿宋" w:hAnsi="仿宋" w:eastAsia="仿宋" w:cs="Times New Roman"/>
                <w:color w:val="000000"/>
                <w:sz w:val="28"/>
                <w:szCs w:val="28"/>
              </w:rPr>
            </w:pPr>
            <w:r>
              <w:rPr>
                <w:rFonts w:hint="eastAsia" w:ascii="仿宋" w:hAnsi="仿宋" w:eastAsia="仿宋" w:cs="仿宋"/>
                <w:color w:val="000000"/>
                <w:sz w:val="28"/>
                <w:szCs w:val="28"/>
              </w:rPr>
              <w:t>教学活动结束后，做好教学文件的收集整理，认真总结教学情况，分析学生学习情况，研究各教学环节的配合，反思整个教学安排，总结教学过程中的经验教训，提出改进办法和完善建议。应具有所授课程的教学总结材料，以及</w:t>
            </w:r>
            <w:r>
              <w:rPr>
                <w:rFonts w:ascii="仿宋" w:hAnsi="仿宋" w:eastAsia="仿宋" w:cs="仿宋"/>
                <w:color w:val="000000"/>
                <w:sz w:val="28"/>
                <w:szCs w:val="28"/>
              </w:rPr>
              <w:t>1</w:t>
            </w:r>
            <w:r>
              <w:rPr>
                <w:rFonts w:hint="eastAsia" w:ascii="仿宋" w:hAnsi="仿宋" w:eastAsia="仿宋" w:cs="仿宋"/>
                <w:color w:val="000000"/>
                <w:sz w:val="28"/>
                <w:szCs w:val="28"/>
              </w:rPr>
              <w:t>篇与所授课程相关的公开发表教研论文。</w:t>
            </w:r>
          </w:p>
        </w:tc>
        <w:tc>
          <w:tcPr>
            <w:tcW w:w="1701" w:type="dxa"/>
            <w:vAlign w:val="center"/>
          </w:tcPr>
          <w:p>
            <w:pPr>
              <w:tabs>
                <w:tab w:val="left" w:pos="4544"/>
              </w:tabs>
              <w:spacing w:line="460" w:lineRule="exact"/>
              <w:ind w:firstLine="28" w:firstLineChars="11"/>
              <w:jc w:val="center"/>
              <w:rPr>
                <w:rFonts w:ascii="仿宋" w:hAnsi="仿宋" w:eastAsia="仿宋" w:cs="Times New Roman"/>
                <w:color w:val="000000"/>
                <w:sz w:val="28"/>
                <w:szCs w:val="28"/>
              </w:rPr>
            </w:pPr>
          </w:p>
        </w:tc>
        <w:tc>
          <w:tcPr>
            <w:tcW w:w="4677" w:type="dxa"/>
          </w:tcPr>
          <w:p>
            <w:pPr>
              <w:tabs>
                <w:tab w:val="left" w:pos="4544"/>
              </w:tabs>
              <w:spacing w:line="460" w:lineRule="exact"/>
              <w:ind w:firstLine="520"/>
              <w:jc w:val="left"/>
              <w:rPr>
                <w:rFonts w:ascii="仿宋" w:hAnsi="仿宋" w:eastAsia="仿宋" w:cs="Times New Roman"/>
                <w:color w:val="000000"/>
                <w:sz w:val="28"/>
                <w:szCs w:val="28"/>
              </w:rPr>
            </w:pPr>
          </w:p>
        </w:tc>
      </w:tr>
    </w:tbl>
    <w:p>
      <w:pPr>
        <w:spacing w:line="480" w:lineRule="exact"/>
        <w:rPr>
          <w:rFonts w:cs="Times New Roman"/>
          <w:color w:val="000000"/>
        </w:rPr>
      </w:pPr>
    </w:p>
    <w:sectPr>
      <w:pgSz w:w="23757" w:h="16783" w:orient="landscape"/>
      <w:pgMar w:top="1134" w:right="1191" w:bottom="1191" w:left="1191" w:header="851" w:footer="992" w:gutter="0"/>
      <w:cols w:space="720" w:num="1"/>
      <w:docGrid w:type="linesAndChars" w:linePitch="290" w:charSpace="-40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Heiti SC Medium">
    <w:altName w:val="宋体"/>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2"/>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A5E"/>
    <w:rsid w:val="00013A5E"/>
    <w:rsid w:val="001C7393"/>
    <w:rsid w:val="00222A00"/>
    <w:rsid w:val="00301E73"/>
    <w:rsid w:val="00644438"/>
    <w:rsid w:val="00740163"/>
    <w:rsid w:val="009E7D01"/>
    <w:rsid w:val="00A13EAF"/>
    <w:rsid w:val="00A52711"/>
    <w:rsid w:val="00AA04EE"/>
    <w:rsid w:val="00B62E14"/>
    <w:rsid w:val="00BC23F5"/>
    <w:rsid w:val="00CA2B96"/>
    <w:rsid w:val="00CE3668"/>
    <w:rsid w:val="00D078BA"/>
    <w:rsid w:val="00D61B15"/>
    <w:rsid w:val="00EF21CC"/>
    <w:rsid w:val="00EF7D52"/>
    <w:rsid w:val="0D3527C4"/>
    <w:rsid w:val="781738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608</Words>
  <Characters>3469</Characters>
  <Lines>28</Lines>
  <Paragraphs>8</Paragraphs>
  <TotalTime>12</TotalTime>
  <ScaleCrop>false</ScaleCrop>
  <LinksUpToDate>false</LinksUpToDate>
  <CharactersWithSpaces>4069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2020-08-05T03:09:00Z</dcterms:created>
  <dc:creator>安徽艺术学院教务处</dc:creator>
  <cp:lastModifiedBy>Loucarmin</cp:lastModifiedBy>
  <cp:lastPrinted>2021-10-12T01:06:19Z</cp:lastPrinted>
  <dcterms:modified xsi:type="dcterms:W3CDTF">2021-10-12T01:10:52Z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BC0FAB679B604BD58926BF1A5A872737</vt:lpwstr>
  </property>
</Properties>
</file>